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FF5F" w14:textId="77777777" w:rsidR="00BE50E9" w:rsidRPr="00BE50E9" w:rsidRDefault="00BE50E9" w:rsidP="00BE50E9">
      <w:pPr>
        <w:tabs>
          <w:tab w:val="left" w:pos="360"/>
        </w:tabs>
        <w:spacing w:after="0" w:line="240" w:lineRule="auto"/>
        <w:rPr>
          <w:rFonts w:ascii="Arial" w:eastAsia="Calibri" w:hAnsi="Arial" w:cs="Arial"/>
        </w:rPr>
      </w:pPr>
      <w:bookmarkStart w:id="0" w:name="_GoBack"/>
      <w:bookmarkEnd w:id="0"/>
      <w:r w:rsidRPr="00BE50E9">
        <w:rPr>
          <w:rFonts w:ascii="Arial" w:eastAsia="Calibri" w:hAnsi="Arial" w:cs="Arial"/>
        </w:rPr>
        <w:t>The following changes are modifying or supplementing the Master Agreement terms and conditions.  The Master Agreement and the Participating Addendum together are referred to herein as the “Contract.”</w:t>
      </w:r>
    </w:p>
    <w:p w14:paraId="5B1D6525" w14:textId="77777777" w:rsidR="00BE50E9" w:rsidRPr="00BE50E9" w:rsidRDefault="00BE50E9" w:rsidP="00BE50E9">
      <w:pPr>
        <w:spacing w:after="0" w:line="240" w:lineRule="auto"/>
        <w:rPr>
          <w:rFonts w:ascii="Arial" w:hAnsi="Arial" w:cs="Arial"/>
          <w:b/>
        </w:rPr>
      </w:pPr>
    </w:p>
    <w:p w14:paraId="4560CEB5" w14:textId="77777777" w:rsidR="00BE50E9" w:rsidRPr="00BE50E9" w:rsidRDefault="00BE50E9" w:rsidP="00847B18">
      <w:pPr>
        <w:spacing w:after="0" w:line="240" w:lineRule="auto"/>
        <w:jc w:val="center"/>
        <w:rPr>
          <w:rFonts w:ascii="Arial" w:hAnsi="Arial" w:cs="Arial"/>
          <w:b/>
        </w:rPr>
      </w:pPr>
    </w:p>
    <w:p w14:paraId="3098D3C9" w14:textId="11BE1CBA" w:rsidR="00BE1F99" w:rsidRPr="00BE50E9" w:rsidRDefault="00DB7CFF" w:rsidP="00847B18">
      <w:pPr>
        <w:spacing w:after="0" w:line="240" w:lineRule="auto"/>
        <w:jc w:val="center"/>
        <w:rPr>
          <w:rFonts w:ascii="Arial" w:hAnsi="Arial" w:cs="Arial"/>
          <w:b/>
        </w:rPr>
      </w:pPr>
      <w:r w:rsidRPr="00BE50E9">
        <w:rPr>
          <w:rFonts w:ascii="Arial" w:hAnsi="Arial" w:cs="Arial"/>
          <w:b/>
        </w:rPr>
        <w:t>State of Montana Terms and Conditions</w:t>
      </w:r>
    </w:p>
    <w:p w14:paraId="2FE9FA70" w14:textId="77777777" w:rsidR="00847B18" w:rsidRPr="00BE50E9" w:rsidRDefault="00847B18" w:rsidP="00847B18">
      <w:pPr>
        <w:spacing w:after="0" w:line="240" w:lineRule="auto"/>
        <w:jc w:val="center"/>
        <w:rPr>
          <w:rFonts w:ascii="Arial" w:hAnsi="Arial" w:cs="Arial"/>
          <w:b/>
        </w:rPr>
      </w:pPr>
    </w:p>
    <w:p w14:paraId="5C3146E4" w14:textId="77777777" w:rsidR="00BE50E9" w:rsidRPr="00BE50E9" w:rsidRDefault="00BE50E9" w:rsidP="00BE50E9">
      <w:pPr>
        <w:spacing w:after="0" w:line="240" w:lineRule="auto"/>
        <w:jc w:val="center"/>
        <w:rPr>
          <w:rFonts w:ascii="Arial" w:eastAsia="Calibri" w:hAnsi="Arial" w:cs="Arial"/>
          <w:b/>
        </w:rPr>
      </w:pPr>
    </w:p>
    <w:p w14:paraId="697979B5" w14:textId="77777777" w:rsidR="00BE50E9" w:rsidRPr="00BE50E9" w:rsidRDefault="00BE50E9" w:rsidP="00BE50E9">
      <w:pPr>
        <w:spacing w:after="0" w:line="240" w:lineRule="auto"/>
        <w:rPr>
          <w:rFonts w:ascii="Arial" w:eastAsia="Calibri" w:hAnsi="Arial" w:cs="Arial"/>
          <w:b/>
          <w:bCs/>
        </w:rPr>
      </w:pPr>
      <w:r w:rsidRPr="00BE50E9">
        <w:rPr>
          <w:rFonts w:ascii="Arial" w:eastAsia="Calibri" w:hAnsi="Arial" w:cs="Arial"/>
          <w:b/>
        </w:rPr>
        <w:t xml:space="preserve">ACCESS AND RETENTION OF RECORDS: </w:t>
      </w:r>
      <w:r w:rsidRPr="00BE50E9">
        <w:rPr>
          <w:rFonts w:ascii="Arial" w:eastAsia="Calibri" w:hAnsi="Arial" w:cs="Arial"/>
        </w:rPr>
        <w:t>Contractor agrees to provide the Participating Entity, Legislative Auditor, or their authorized agents, access to any records necessary to determine contract compliance. (Section 18-1-118, MCA). Contractor agrees to create and retain records supporting the services rendered or supplies delivered for a period of eight years after either the completion date of the Contract or the conclusion of any claim, litigation, or exception relating to the Contract taken by the Participating Entity or third party.</w:t>
      </w:r>
    </w:p>
    <w:p w14:paraId="743F0FA2" w14:textId="77777777" w:rsidR="00BE50E9" w:rsidRPr="00BE50E9" w:rsidRDefault="00BE50E9" w:rsidP="00BE50E9">
      <w:pPr>
        <w:spacing w:after="0" w:line="240" w:lineRule="auto"/>
        <w:ind w:left="720"/>
        <w:outlineLvl w:val="0"/>
        <w:rPr>
          <w:rFonts w:ascii="Arial" w:eastAsia="Calibri" w:hAnsi="Arial" w:cs="Arial"/>
          <w:b/>
          <w:u w:val="single"/>
        </w:rPr>
      </w:pPr>
    </w:p>
    <w:p w14:paraId="3247B5DC"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rPr>
        <w:t>ASSIGNMENT, TRANSFER AND SUBCONTRACTING:</w:t>
      </w:r>
      <w:r w:rsidRPr="00BE50E9">
        <w:rPr>
          <w:rFonts w:ascii="Arial" w:eastAsia="Calibri" w:hAnsi="Arial" w:cs="Arial"/>
        </w:rPr>
        <w:t xml:space="preserve"> Contractor shall not assign, transfer or subcontract any portion of the Contract without the express written consent of the Participating Entity. (Section 18-4-141, MCA.)</w:t>
      </w:r>
    </w:p>
    <w:p w14:paraId="4FB6D192" w14:textId="77777777" w:rsidR="00BE1F99" w:rsidRPr="00BE50E9" w:rsidRDefault="00BE1F99" w:rsidP="00847B18">
      <w:pPr>
        <w:spacing w:after="0" w:line="240" w:lineRule="auto"/>
        <w:ind w:left="720"/>
        <w:outlineLvl w:val="0"/>
        <w:rPr>
          <w:rFonts w:ascii="Arial" w:eastAsia="Calibri" w:hAnsi="Arial" w:cs="Arial"/>
          <w:b/>
          <w:u w:val="single"/>
        </w:rPr>
      </w:pPr>
    </w:p>
    <w:p w14:paraId="3392A256" w14:textId="77777777" w:rsidR="00BE1F99" w:rsidRPr="00BE50E9" w:rsidRDefault="00BE1F99" w:rsidP="00847B18">
      <w:pPr>
        <w:spacing w:after="0" w:line="240" w:lineRule="auto"/>
        <w:rPr>
          <w:rFonts w:ascii="Arial" w:hAnsi="Arial" w:cs="Arial"/>
        </w:rPr>
      </w:pPr>
      <w:r w:rsidRPr="00BE50E9">
        <w:rPr>
          <w:rFonts w:ascii="Arial" w:hAnsi="Arial" w:cs="Arial"/>
          <w:b/>
        </w:rPr>
        <w:t>COMPLIANCE WITH LAWS:</w:t>
      </w:r>
      <w:r w:rsidRPr="00BE50E9">
        <w:rPr>
          <w:rFonts w:ascii="Arial" w:hAnsi="Arial" w:cs="Arial"/>
        </w:rPr>
        <w:t xml:space="preserve"> 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w:t>
      </w:r>
      <w:proofErr w:type="spellStart"/>
      <w:r w:rsidRPr="00BE50E9">
        <w:rPr>
          <w:rFonts w:ascii="Arial" w:hAnsi="Arial" w:cs="Arial"/>
        </w:rPr>
        <w:t>P.l</w:t>
      </w:r>
      <w:proofErr w:type="spellEnd"/>
      <w:r w:rsidRPr="00BE50E9">
        <w:rPr>
          <w:rFonts w:ascii="Arial" w:hAnsi="Arial" w:cs="Arial"/>
        </w:rPr>
        <w:t xml:space="preserve">. 111-148, 124 Stat. 119]. Any subletting or subcontracting by Contractor </w:t>
      </w:r>
      <w:proofErr w:type="gramStart"/>
      <w:r w:rsidRPr="00BE50E9">
        <w:rPr>
          <w:rFonts w:ascii="Arial" w:hAnsi="Arial" w:cs="Arial"/>
        </w:rPr>
        <w:t>subjects</w:t>
      </w:r>
      <w:proofErr w:type="gramEnd"/>
      <w:r w:rsidRPr="00BE50E9">
        <w:rPr>
          <w:rFonts w:ascii="Arial" w:hAnsi="Arial" w:cs="Arial"/>
        </w:rPr>
        <w:t xml:space="preserve"> subcontractors to the same provisions. In accordance with 49-3-207, MCA, and Executive Order No. 04-2016 Contractor agrees that the hiring of persons to perform this Contract will be made on the basis of merit and qualifications and there will be no discrimination </w:t>
      </w:r>
      <w:r w:rsidRPr="00BE50E9">
        <w:rPr>
          <w:rFonts w:ascii="Arial" w:hAnsi="Arial" w:cs="Arial"/>
          <w:spacing w:val="-3"/>
        </w:rPr>
        <w:t xml:space="preserve">based </w:t>
      </w:r>
      <w:r w:rsidRPr="00BE50E9">
        <w:rPr>
          <w:rFonts w:ascii="Arial" w:hAnsi="Arial" w:cs="Arial"/>
        </w:rPr>
        <w:t>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14:paraId="1B6A7DFC" w14:textId="77777777" w:rsidR="00BE1F99" w:rsidRPr="00BE50E9" w:rsidRDefault="00BE1F99" w:rsidP="00847B18">
      <w:pPr>
        <w:spacing w:after="0" w:line="240" w:lineRule="auto"/>
        <w:ind w:left="720"/>
        <w:rPr>
          <w:rFonts w:ascii="Arial" w:eastAsia="Calibri" w:hAnsi="Arial" w:cs="Arial"/>
          <w:b/>
          <w:u w:val="single"/>
        </w:rPr>
      </w:pPr>
    </w:p>
    <w:p w14:paraId="7930B5A5" w14:textId="77777777" w:rsidR="00BE50E9" w:rsidRPr="00BE50E9" w:rsidRDefault="00BE50E9" w:rsidP="00BE50E9">
      <w:pPr>
        <w:spacing w:after="0" w:line="240" w:lineRule="auto"/>
        <w:rPr>
          <w:rFonts w:ascii="Arial" w:eastAsia="Calibri" w:hAnsi="Arial" w:cs="Arial"/>
          <w:color w:val="000000"/>
        </w:rPr>
      </w:pPr>
      <w:r w:rsidRPr="00BE50E9">
        <w:rPr>
          <w:rFonts w:ascii="Arial" w:eastAsia="Calibri" w:hAnsi="Arial" w:cs="Arial"/>
          <w:b/>
          <w:color w:val="000000"/>
        </w:rPr>
        <w:t xml:space="preserve">DEFENSE, INDEMNIFICATION /HOLD HARMLESS: </w:t>
      </w:r>
      <w:r w:rsidRPr="00BE50E9">
        <w:rPr>
          <w:rFonts w:ascii="Arial" w:eastAsia="Calibri" w:hAnsi="Arial" w:cs="Arial"/>
          <w:color w:val="000000"/>
        </w:rPr>
        <w:t>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resulting or allegedly resulting in whole or part from (</w:t>
      </w:r>
      <w:proofErr w:type="spellStart"/>
      <w:r w:rsidRPr="00BE50E9">
        <w:rPr>
          <w:rFonts w:ascii="Arial" w:eastAsia="Calibri" w:hAnsi="Arial" w:cs="Arial"/>
          <w:color w:val="000000"/>
        </w:rPr>
        <w:t>i</w:t>
      </w:r>
      <w:proofErr w:type="spellEnd"/>
      <w:r w:rsidRPr="00BE50E9">
        <w:rPr>
          <w:rFonts w:ascii="Arial" w:eastAsia="Calibri" w:hAnsi="Arial" w:cs="Arial"/>
          <w:color w:val="000000"/>
        </w:rPr>
        <w:t>) the services performed or products provided or (ii) other acts or omissions of Contractor and/or its agents, employees, representatives, assigns, subcontractors, except the sole negligence of Participating Entity or the contracting agency.</w:t>
      </w:r>
    </w:p>
    <w:p w14:paraId="5CB56F14" w14:textId="77777777" w:rsidR="00BE50E9" w:rsidRPr="00BE50E9" w:rsidRDefault="00BE50E9" w:rsidP="00BE50E9">
      <w:pPr>
        <w:spacing w:after="0" w:line="240" w:lineRule="auto"/>
        <w:rPr>
          <w:rFonts w:ascii="Arial" w:eastAsia="Calibri" w:hAnsi="Arial" w:cs="Arial"/>
          <w:b/>
          <w:u w:val="single"/>
        </w:rPr>
      </w:pPr>
    </w:p>
    <w:p w14:paraId="37734116"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bCs/>
        </w:rPr>
        <w:t xml:space="preserve">REDUCTION OF FUNDING: </w:t>
      </w:r>
      <w:r w:rsidRPr="00BE50E9">
        <w:rPr>
          <w:rFonts w:ascii="Arial" w:eastAsia="Calibri" w:hAnsi="Arial" w:cs="Arial"/>
        </w:rPr>
        <w:t xml:space="preserve">Participating Entity must by law terminate this Contract if funds are not appropriated or otherwise made available to support the Participating Entity's or contracting agency’s continuation of performance of this Contract in a subsequent fiscal period. (18-4-313(4), MCA) </w:t>
      </w:r>
      <w:r w:rsidRPr="00BE50E9">
        <w:rPr>
          <w:rFonts w:ascii="Arial" w:eastAsia="Calibri" w:hAnsi="Arial" w:cs="Arial"/>
          <w:lang w:bidi="en-US"/>
        </w:rPr>
        <w:t xml:space="preserve">If state or federal government funds are not appropriated or otherwise made available through the state budgeting process to support continued performance of this Contract </w:t>
      </w:r>
      <w:r w:rsidRPr="00BE50E9">
        <w:rPr>
          <w:rFonts w:ascii="Arial" w:eastAsia="Calibri" w:hAnsi="Arial" w:cs="Arial"/>
          <w:lang w:bidi="en-US"/>
        </w:rPr>
        <w:lastRenderedPageBreak/>
        <w:t>(whether at an initial contract payment level or any contract increases to that initial level) in subsequent fiscal periods, Participating Entity shall terminate this Contract as required by law. Participating Entity shall provide Contractor the date Participating Entity's termination shall take effect. Participating Entity shall not be liable to Contractor for any payment that would have been</w:t>
      </w:r>
      <w:r w:rsidRPr="00BE50E9">
        <w:rPr>
          <w:rFonts w:ascii="Arial" w:eastAsia="Calibri" w:hAnsi="Arial" w:cs="Arial"/>
        </w:rPr>
        <w:t xml:space="preserve"> </w:t>
      </w:r>
      <w:r w:rsidRPr="00BE50E9">
        <w:rPr>
          <w:rFonts w:ascii="Arial" w:eastAsia="Calibri" w:hAnsi="Arial" w:cs="Arial"/>
          <w:lang w:bidi="en-US"/>
        </w:rPr>
        <w:t>payable had the Contract not been terminated under this provision. As stated above, Participating Entity shall be liable to Contractor only for the payment, or prorated portion of that payment, owed to Contractor up to the date Participating Entity's termination takes effect. This is Contractor's sole remedy. Participating Entity shall not be liable to Contractor for any other payments or damages arising from termination under this section, including but not limited to general, special, or consequential damages such as lost profits or revenues.</w:t>
      </w:r>
    </w:p>
    <w:p w14:paraId="1DC9453B" w14:textId="77777777" w:rsidR="00BE1F99" w:rsidRPr="00BE50E9" w:rsidRDefault="00BE1F99" w:rsidP="00847B18">
      <w:pPr>
        <w:spacing w:after="0" w:line="240" w:lineRule="auto"/>
        <w:ind w:left="720"/>
        <w:rPr>
          <w:rFonts w:ascii="Arial" w:eastAsia="Calibri" w:hAnsi="Arial" w:cs="Arial"/>
          <w:b/>
          <w:u w:val="single"/>
        </w:rPr>
      </w:pPr>
    </w:p>
    <w:p w14:paraId="6A6E8F55" w14:textId="19D37A43" w:rsidR="000B0DF5" w:rsidRPr="00BE50E9" w:rsidRDefault="000B0DF5" w:rsidP="000B0DF5">
      <w:pPr>
        <w:rPr>
          <w:rFonts w:ascii="Arial" w:hAnsi="Arial" w:cs="Arial"/>
        </w:rPr>
      </w:pPr>
      <w:r w:rsidRPr="00BE50E9">
        <w:rPr>
          <w:rFonts w:ascii="Arial" w:hAnsi="Arial" w:cs="Arial"/>
          <w:b/>
        </w:rPr>
        <w:t xml:space="preserve">CHOICE OF LAW AND </w:t>
      </w:r>
      <w:r w:rsidR="00BE1F99" w:rsidRPr="00BE50E9">
        <w:rPr>
          <w:rFonts w:ascii="Arial" w:hAnsi="Arial" w:cs="Arial"/>
          <w:b/>
        </w:rPr>
        <w:t xml:space="preserve">VENUE: </w:t>
      </w:r>
      <w:r w:rsidRPr="00BE50E9">
        <w:rPr>
          <w:rFonts w:ascii="Arial" w:hAnsi="Arial" w:cs="Arial"/>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except as </w:t>
      </w:r>
      <w:r w:rsidRPr="00BE50E9">
        <w:rPr>
          <w:rFonts w:ascii="Arial" w:hAnsi="Arial" w:cs="Arial"/>
          <w:color w:val="000000" w:themeColor="text1"/>
        </w:rPr>
        <w:t xml:space="preserve">provided in </w:t>
      </w:r>
      <w:r w:rsidRPr="00BE50E9">
        <w:rPr>
          <w:rFonts w:ascii="Arial" w:hAnsi="Arial" w:cs="Arial"/>
          <w:b/>
          <w:bCs/>
          <w:color w:val="000000" w:themeColor="text1"/>
        </w:rPr>
        <w:t>Defense, Indemnification/Hold Harmless</w:t>
      </w:r>
      <w:r w:rsidRPr="00BE50E9">
        <w:rPr>
          <w:rFonts w:ascii="Arial" w:hAnsi="Arial" w:cs="Arial"/>
          <w:color w:val="000000" w:themeColor="text1"/>
        </w:rPr>
        <w:t>.</w:t>
      </w:r>
    </w:p>
    <w:p w14:paraId="1DBE658E" w14:textId="2E7D96C2" w:rsidR="00BE1F99" w:rsidRPr="00BE50E9" w:rsidRDefault="00BE1F99" w:rsidP="000B0DF5">
      <w:pPr>
        <w:spacing w:after="0" w:line="240" w:lineRule="auto"/>
        <w:rPr>
          <w:rFonts w:ascii="Arial" w:hAnsi="Arial" w:cs="Arial"/>
        </w:rPr>
      </w:pPr>
    </w:p>
    <w:p w14:paraId="1FDC9F71"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rPr>
        <w:t>TAX EXEMPTION:</w:t>
      </w:r>
      <w:r w:rsidRPr="00BE50E9">
        <w:rPr>
          <w:rFonts w:ascii="Arial" w:eastAsia="Calibri" w:hAnsi="Arial" w:cs="Arial"/>
        </w:rPr>
        <w:t xml:space="preserve"> Participating Entity is exempt from Federal Excise Taxes (#81-0302402) except as otherwise provided in the federal Patient Protection and Affordable Care Act [</w:t>
      </w:r>
      <w:proofErr w:type="spellStart"/>
      <w:r w:rsidRPr="00BE50E9">
        <w:rPr>
          <w:rFonts w:ascii="Arial" w:eastAsia="Calibri" w:hAnsi="Arial" w:cs="Arial"/>
        </w:rPr>
        <w:t>P.l</w:t>
      </w:r>
      <w:proofErr w:type="spellEnd"/>
      <w:r w:rsidRPr="00BE50E9">
        <w:rPr>
          <w:rFonts w:ascii="Arial" w:eastAsia="Calibri" w:hAnsi="Arial" w:cs="Arial"/>
        </w:rPr>
        <w:t>. 111-148, 124 Stat. 119].</w:t>
      </w:r>
    </w:p>
    <w:p w14:paraId="6DDD8392" w14:textId="77777777" w:rsidR="00BE50E9" w:rsidRPr="00BE50E9" w:rsidRDefault="00BE50E9" w:rsidP="00BE50E9">
      <w:pPr>
        <w:spacing w:after="0" w:line="240" w:lineRule="auto"/>
        <w:ind w:left="720"/>
        <w:rPr>
          <w:rFonts w:ascii="Arial" w:eastAsia="Calibri" w:hAnsi="Arial" w:cs="Arial"/>
        </w:rPr>
      </w:pPr>
    </w:p>
    <w:p w14:paraId="660D69DA"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rPr>
        <w:t>STATE OF MONTANA ADMINISTRATIVE FEE:</w:t>
      </w:r>
      <w:r w:rsidRPr="00BE50E9">
        <w:rPr>
          <w:rFonts w:ascii="Arial" w:eastAsia="Calibri" w:hAnsi="Arial" w:cs="Arial"/>
        </w:rPr>
        <w:t xml:space="preserve"> The Participating Entity assesses an Administrative Fee of one and one-half percent (1.50%) for all net sales (sales less credits and returns) made under this PA.  The prices paid to Contractor must include the 1.5% Administrative Fee. The Contractor shall remit this Administrative Fee concurrent with the Required Usage Reporting described below. The Administrative Fee must be submitted by ACH along with email notification to the State of Montana Contracts Officer. This Administrative Fee is effective upon execution of this Participating Addendum.</w:t>
      </w:r>
    </w:p>
    <w:p w14:paraId="2BA2CD1A" w14:textId="77777777" w:rsidR="00BE50E9" w:rsidRPr="00BE50E9" w:rsidRDefault="00BE50E9" w:rsidP="00BE50E9">
      <w:pPr>
        <w:spacing w:after="0" w:line="240" w:lineRule="auto"/>
        <w:ind w:left="720"/>
        <w:contextualSpacing/>
        <w:rPr>
          <w:rFonts w:ascii="Arial" w:eastAsia="Calibri" w:hAnsi="Arial" w:cs="Arial"/>
          <w:b/>
          <w:u w:val="single"/>
        </w:rPr>
      </w:pPr>
    </w:p>
    <w:p w14:paraId="1FA3306B"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rPr>
        <w:t>REQUIRED REPORTING:</w:t>
      </w:r>
      <w:r w:rsidRPr="00BE50E9">
        <w:rPr>
          <w:rFonts w:ascii="Arial" w:eastAsia="Calibri" w:hAnsi="Arial" w:cs="Arial"/>
        </w:rPr>
        <w:t xml:space="preserve"> Contractor shall submit quarterly reports to the Contracts Officer (CO) assigned by the Participating Entity to manage this contract.  Contractor shall provide CO with an electronic usage report (Excel), which must list the following information at the minimum: purchasing entity; description of items purchased; date of purchase; contract price; and the extended price for each transaction.  These reports are due no more than 30 days after the end of the quarter.</w:t>
      </w:r>
    </w:p>
    <w:p w14:paraId="528547C5" w14:textId="77777777" w:rsidR="00BE50E9" w:rsidRPr="00BE50E9" w:rsidRDefault="00BE50E9" w:rsidP="00BE50E9">
      <w:pPr>
        <w:spacing w:after="0" w:line="240" w:lineRule="auto"/>
        <w:ind w:left="90"/>
        <w:rPr>
          <w:rFonts w:ascii="Arial" w:eastAsia="Calibri" w:hAnsi="Arial" w:cs="Arial"/>
        </w:rPr>
      </w:pPr>
      <w:r w:rsidRPr="00BE50E9">
        <w:rPr>
          <w:rFonts w:ascii="Arial" w:eastAsia="Calibri" w:hAnsi="Arial" w:cs="Arial"/>
        </w:rPr>
        <w:tab/>
      </w:r>
    </w:p>
    <w:p w14:paraId="5E1F34AB" w14:textId="77777777" w:rsidR="00BE50E9" w:rsidRPr="00BE50E9" w:rsidRDefault="00BE50E9" w:rsidP="00BE50E9">
      <w:pPr>
        <w:spacing w:after="0" w:line="240" w:lineRule="auto"/>
        <w:ind w:left="720"/>
        <w:rPr>
          <w:rFonts w:ascii="Arial" w:eastAsia="Calibri" w:hAnsi="Arial" w:cs="Arial"/>
        </w:rPr>
      </w:pPr>
      <w:r w:rsidRPr="00BE50E9">
        <w:rPr>
          <w:rFonts w:ascii="Arial" w:eastAsia="Calibri" w:hAnsi="Arial" w:cs="Arial"/>
        </w:rPr>
        <w:t>First Quarter:</w:t>
      </w:r>
      <w:r w:rsidRPr="00BE50E9">
        <w:rPr>
          <w:rFonts w:ascii="Arial" w:eastAsia="Calibri" w:hAnsi="Arial" w:cs="Arial"/>
        </w:rPr>
        <w:tab/>
      </w:r>
      <w:r w:rsidRPr="00BE50E9">
        <w:rPr>
          <w:rFonts w:ascii="Arial" w:eastAsia="Calibri" w:hAnsi="Arial" w:cs="Arial"/>
        </w:rPr>
        <w:tab/>
        <w:t>July 1 through September 30</w:t>
      </w:r>
    </w:p>
    <w:p w14:paraId="6E3477BC"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rPr>
        <w:tab/>
        <w:t xml:space="preserve">Second Quarter: </w:t>
      </w:r>
      <w:r w:rsidRPr="00BE50E9">
        <w:rPr>
          <w:rFonts w:ascii="Arial" w:eastAsia="Calibri" w:hAnsi="Arial" w:cs="Arial"/>
        </w:rPr>
        <w:tab/>
        <w:t>October 1 through December 31</w:t>
      </w:r>
    </w:p>
    <w:p w14:paraId="6DE24B8C" w14:textId="77777777" w:rsidR="00BE50E9" w:rsidRPr="00BE50E9" w:rsidRDefault="00BE50E9" w:rsidP="00BE50E9">
      <w:pPr>
        <w:spacing w:after="0" w:line="240" w:lineRule="auto"/>
        <w:ind w:left="90"/>
        <w:rPr>
          <w:rFonts w:ascii="Arial" w:eastAsia="Calibri" w:hAnsi="Arial" w:cs="Arial"/>
        </w:rPr>
      </w:pPr>
      <w:r w:rsidRPr="00BE50E9">
        <w:rPr>
          <w:rFonts w:ascii="Arial" w:eastAsia="Calibri" w:hAnsi="Arial" w:cs="Arial"/>
        </w:rPr>
        <w:tab/>
        <w:t xml:space="preserve">Third Quarter: </w:t>
      </w:r>
      <w:r w:rsidRPr="00BE50E9">
        <w:rPr>
          <w:rFonts w:ascii="Arial" w:eastAsia="Calibri" w:hAnsi="Arial" w:cs="Arial"/>
        </w:rPr>
        <w:tab/>
      </w:r>
      <w:r w:rsidRPr="00BE50E9">
        <w:rPr>
          <w:rFonts w:ascii="Arial" w:eastAsia="Calibri" w:hAnsi="Arial" w:cs="Arial"/>
        </w:rPr>
        <w:tab/>
        <w:t>January 1 through March 31</w:t>
      </w:r>
    </w:p>
    <w:p w14:paraId="1D793B90" w14:textId="77777777" w:rsidR="00BE50E9" w:rsidRPr="00BE50E9" w:rsidRDefault="00BE50E9" w:rsidP="00BE50E9">
      <w:pPr>
        <w:spacing w:after="0" w:line="240" w:lineRule="auto"/>
        <w:ind w:left="86"/>
        <w:rPr>
          <w:rFonts w:ascii="Arial" w:eastAsia="Calibri" w:hAnsi="Arial" w:cs="Arial"/>
        </w:rPr>
      </w:pPr>
      <w:r w:rsidRPr="00BE50E9">
        <w:rPr>
          <w:rFonts w:ascii="Arial" w:eastAsia="Calibri" w:hAnsi="Arial" w:cs="Arial"/>
        </w:rPr>
        <w:tab/>
        <w:t>Fourth Quarter:</w:t>
      </w:r>
      <w:r w:rsidRPr="00BE50E9">
        <w:rPr>
          <w:rFonts w:ascii="Arial" w:eastAsia="Calibri" w:hAnsi="Arial" w:cs="Arial"/>
        </w:rPr>
        <w:tab/>
        <w:t>April 1 through June 30</w:t>
      </w:r>
    </w:p>
    <w:p w14:paraId="4EEEC6F9" w14:textId="77777777" w:rsidR="00BE50E9" w:rsidRPr="00BE50E9" w:rsidRDefault="00BE50E9" w:rsidP="00BE50E9">
      <w:pPr>
        <w:spacing w:after="0" w:line="240" w:lineRule="auto"/>
        <w:rPr>
          <w:rFonts w:ascii="Arial" w:eastAsia="Calibri" w:hAnsi="Arial" w:cs="Arial"/>
          <w:b/>
        </w:rPr>
      </w:pPr>
    </w:p>
    <w:p w14:paraId="3954191F" w14:textId="77777777" w:rsidR="00BE50E9" w:rsidRPr="00BE50E9" w:rsidRDefault="00BE50E9" w:rsidP="00BE50E9">
      <w:pPr>
        <w:spacing w:after="0" w:line="240" w:lineRule="auto"/>
        <w:rPr>
          <w:rFonts w:ascii="Arial" w:eastAsia="Calibri" w:hAnsi="Arial" w:cs="Arial"/>
        </w:rPr>
      </w:pPr>
      <w:r w:rsidRPr="00BE50E9">
        <w:rPr>
          <w:rFonts w:ascii="Arial" w:eastAsia="Calibri" w:hAnsi="Arial" w:cs="Arial"/>
          <w:b/>
        </w:rPr>
        <w:t>DELIVERY:</w:t>
      </w:r>
      <w:r w:rsidRPr="00BE50E9">
        <w:rPr>
          <w:rFonts w:ascii="Arial" w:eastAsia="Calibri" w:hAnsi="Arial" w:cs="Arial"/>
          <w:i/>
        </w:rPr>
        <w:t xml:space="preserve"> </w:t>
      </w:r>
      <w:r w:rsidRPr="00BE50E9">
        <w:rPr>
          <w:rFonts w:ascii="Arial" w:eastAsia="Calibri" w:hAnsi="Arial" w:cs="Arial"/>
        </w:rPr>
        <w:t xml:space="preserve">Weekends and holidays excepted, deliveries shall be </w:t>
      </w:r>
      <w:r w:rsidRPr="00BE50E9">
        <w:rPr>
          <w:rFonts w:ascii="Arial" w:eastAsia="Calibri" w:hAnsi="Arial" w:cs="Arial"/>
          <w:b/>
          <w:bCs/>
        </w:rPr>
        <w:t>F.O.B. DESTINATION</w:t>
      </w:r>
      <w:r w:rsidRPr="00BE50E9">
        <w:rPr>
          <w:rFonts w:ascii="Arial" w:eastAsia="Calibri" w:hAnsi="Arial" w:cs="Arial"/>
          <w:bCs/>
        </w:rPr>
        <w:t xml:space="preserve">, </w:t>
      </w:r>
      <w:r w:rsidRPr="00BE50E9">
        <w:rPr>
          <w:rFonts w:ascii="Arial" w:eastAsia="Calibri" w:hAnsi="Arial" w:cs="Arial"/>
        </w:rPr>
        <w:t>to the location shown below. The term "F.O.B. destination" as used in this clause, means free of expense to the Participating Entity or contracting agency and delivered to the location specified.  The Contractor shall:</w:t>
      </w:r>
    </w:p>
    <w:p w14:paraId="6A548BDB" w14:textId="77777777" w:rsidR="00BE50E9" w:rsidRPr="00BE50E9" w:rsidRDefault="00BE50E9" w:rsidP="00BE50E9">
      <w:pPr>
        <w:spacing w:after="0" w:line="240" w:lineRule="auto"/>
        <w:ind w:left="720" w:hanging="360"/>
        <w:rPr>
          <w:rFonts w:ascii="Arial" w:eastAsia="Calibri" w:hAnsi="Arial" w:cs="Arial"/>
        </w:rPr>
      </w:pPr>
    </w:p>
    <w:p w14:paraId="48864958" w14:textId="77777777" w:rsidR="00BE50E9" w:rsidRPr="00BE50E9" w:rsidRDefault="00BE50E9" w:rsidP="00BE50E9">
      <w:pPr>
        <w:numPr>
          <w:ilvl w:val="0"/>
          <w:numId w:val="4"/>
        </w:numPr>
        <w:autoSpaceDN w:val="0"/>
        <w:spacing w:after="0" w:line="240" w:lineRule="auto"/>
        <w:rPr>
          <w:rFonts w:ascii="Arial" w:eastAsia="Calibri" w:hAnsi="Arial" w:cs="Arial"/>
        </w:rPr>
      </w:pPr>
      <w:r w:rsidRPr="00BE50E9">
        <w:rPr>
          <w:rFonts w:ascii="Arial" w:eastAsia="Calibri" w:hAnsi="Arial" w:cs="Arial"/>
        </w:rPr>
        <w:t>Pack and mark the shipment to comply with specifications; or if the specifications do not contain specific packing or marking instructions, pack and mark the shipment in accordance with prevailing commercial practices and in such a manner as to ensure delivery in good condition and as required by this IFB;</w:t>
      </w:r>
    </w:p>
    <w:p w14:paraId="62B88750" w14:textId="77777777" w:rsidR="00BE50E9" w:rsidRPr="00BE50E9" w:rsidRDefault="00BE50E9" w:rsidP="00BE50E9">
      <w:pPr>
        <w:numPr>
          <w:ilvl w:val="0"/>
          <w:numId w:val="4"/>
        </w:numPr>
        <w:autoSpaceDN w:val="0"/>
        <w:spacing w:after="0" w:line="240" w:lineRule="auto"/>
        <w:rPr>
          <w:rFonts w:ascii="Arial" w:eastAsia="Calibri" w:hAnsi="Arial" w:cs="Arial"/>
        </w:rPr>
      </w:pPr>
      <w:r w:rsidRPr="00BE50E9">
        <w:rPr>
          <w:rFonts w:ascii="Arial" w:eastAsia="Calibri" w:hAnsi="Arial" w:cs="Arial"/>
        </w:rPr>
        <w:lastRenderedPageBreak/>
        <w:t>Prepare and distribute commercial bills of lading and Material Safety Data Sheets (MSDS) as appropriate;</w:t>
      </w:r>
    </w:p>
    <w:p w14:paraId="5C2BF9CD" w14:textId="77777777" w:rsidR="00BE50E9" w:rsidRPr="00BE50E9" w:rsidRDefault="00BE50E9" w:rsidP="00BE50E9">
      <w:pPr>
        <w:numPr>
          <w:ilvl w:val="0"/>
          <w:numId w:val="4"/>
        </w:numPr>
        <w:autoSpaceDN w:val="0"/>
        <w:spacing w:after="0" w:line="240" w:lineRule="auto"/>
        <w:rPr>
          <w:rFonts w:ascii="Arial" w:eastAsia="Calibri" w:hAnsi="Arial" w:cs="Arial"/>
        </w:rPr>
      </w:pPr>
      <w:r w:rsidRPr="00BE50E9">
        <w:rPr>
          <w:rFonts w:ascii="Arial" w:eastAsia="Calibri" w:hAnsi="Arial" w:cs="Arial"/>
        </w:rPr>
        <w:t>Deliver the shipment in good order and condition to the point of delivery specified in the IFB;</w:t>
      </w:r>
    </w:p>
    <w:p w14:paraId="1E1B2356" w14:textId="77777777" w:rsidR="00BE50E9" w:rsidRPr="00BE50E9" w:rsidRDefault="00BE50E9" w:rsidP="00BE50E9">
      <w:pPr>
        <w:numPr>
          <w:ilvl w:val="0"/>
          <w:numId w:val="4"/>
        </w:numPr>
        <w:autoSpaceDN w:val="0"/>
        <w:spacing w:after="0" w:line="240" w:lineRule="auto"/>
        <w:rPr>
          <w:rFonts w:ascii="Arial" w:eastAsia="Calibri" w:hAnsi="Arial" w:cs="Arial"/>
        </w:rPr>
      </w:pPr>
      <w:r w:rsidRPr="00BE50E9">
        <w:rPr>
          <w:rFonts w:ascii="Arial" w:eastAsia="Calibri" w:hAnsi="Arial" w:cs="Arial"/>
        </w:rPr>
        <w:t>Be responsible for any loss of and/or damage to the goods occurring before receipt of the shipment by the Participating Entity or contracting agency at the delivery point specified in the IFB;</w:t>
      </w:r>
    </w:p>
    <w:p w14:paraId="1227695F" w14:textId="77777777" w:rsidR="00BE50E9" w:rsidRPr="00BE50E9" w:rsidRDefault="00BE50E9" w:rsidP="00BE50E9">
      <w:pPr>
        <w:numPr>
          <w:ilvl w:val="0"/>
          <w:numId w:val="4"/>
        </w:numPr>
        <w:autoSpaceDN w:val="0"/>
        <w:spacing w:after="0" w:line="240" w:lineRule="auto"/>
        <w:rPr>
          <w:rFonts w:ascii="Arial" w:eastAsia="Calibri" w:hAnsi="Arial" w:cs="Arial"/>
        </w:rPr>
      </w:pPr>
      <w:r w:rsidRPr="00BE50E9">
        <w:rPr>
          <w:rFonts w:ascii="Arial" w:eastAsia="Calibri" w:hAnsi="Arial" w:cs="Arial"/>
        </w:rPr>
        <w:t xml:space="preserve">Furnish a delivery schedule and designate the mode of delivering carrier; and </w:t>
      </w:r>
    </w:p>
    <w:p w14:paraId="720FE0ED" w14:textId="7FA405F9" w:rsidR="00BE1F99" w:rsidRPr="00BE50E9" w:rsidRDefault="00BE50E9" w:rsidP="00847B18">
      <w:pPr>
        <w:numPr>
          <w:ilvl w:val="0"/>
          <w:numId w:val="4"/>
        </w:numPr>
        <w:autoSpaceDN w:val="0"/>
        <w:spacing w:after="0" w:line="240" w:lineRule="auto"/>
        <w:rPr>
          <w:rFonts w:ascii="Arial" w:eastAsia="Calibri" w:hAnsi="Arial" w:cs="Arial"/>
        </w:rPr>
      </w:pPr>
      <w:r w:rsidRPr="00BE50E9">
        <w:rPr>
          <w:rFonts w:ascii="Arial" w:eastAsia="Calibri" w:hAnsi="Arial" w:cs="Arial"/>
        </w:rPr>
        <w:t xml:space="preserve">Pay and bear all charges to the specified points of delivery. </w:t>
      </w:r>
    </w:p>
    <w:sectPr w:rsidR="00BE1F99" w:rsidRPr="00BE50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556B" w14:textId="77777777" w:rsidR="00C66295" w:rsidRDefault="00C66295" w:rsidP="002641C3">
      <w:pPr>
        <w:spacing w:after="0" w:line="240" w:lineRule="auto"/>
      </w:pPr>
      <w:r>
        <w:separator/>
      </w:r>
    </w:p>
  </w:endnote>
  <w:endnote w:type="continuationSeparator" w:id="0">
    <w:p w14:paraId="204CE770" w14:textId="77777777" w:rsidR="00C66295" w:rsidRDefault="00C66295" w:rsidP="0026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5D99" w14:textId="77777777" w:rsidR="00C66295" w:rsidRDefault="00C66295" w:rsidP="002641C3">
      <w:pPr>
        <w:spacing w:after="0" w:line="240" w:lineRule="auto"/>
      </w:pPr>
      <w:r>
        <w:separator/>
      </w:r>
    </w:p>
  </w:footnote>
  <w:footnote w:type="continuationSeparator" w:id="0">
    <w:p w14:paraId="10048BFF" w14:textId="77777777" w:rsidR="00C66295" w:rsidRDefault="00C66295" w:rsidP="0026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640B" w14:textId="175C047E" w:rsidR="002641C3" w:rsidRDefault="002641C3" w:rsidP="002641C3">
    <w:pPr>
      <w:pStyle w:val="Header"/>
      <w:jc w:val="center"/>
    </w:pPr>
    <w:r>
      <w:t>Exhibit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58A"/>
    <w:multiLevelType w:val="hybridMultilevel"/>
    <w:tmpl w:val="7E760D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34CB1705"/>
    <w:multiLevelType w:val="hybridMultilevel"/>
    <w:tmpl w:val="BF20D5F8"/>
    <w:lvl w:ilvl="0" w:tplc="904C3C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6D60C86">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143D0"/>
    <w:multiLevelType w:val="hybridMultilevel"/>
    <w:tmpl w:val="92B0DB44"/>
    <w:lvl w:ilvl="0" w:tplc="68BEBAC4">
      <w:start w:val="5"/>
      <w:numFmt w:val="decimal"/>
      <w:lvlText w:val="%1."/>
      <w:lvlJc w:val="left"/>
      <w:pPr>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36533"/>
    <w:multiLevelType w:val="multilevel"/>
    <w:tmpl w:val="9C142204"/>
    <w:lvl w:ilvl="0">
      <w:start w:val="801"/>
      <w:numFmt w:val="decimal"/>
      <w:suff w:val="nothing"/>
      <w:lvlText w:val="Section %1.      "/>
      <w:lvlJc w:val="left"/>
      <w:pPr>
        <w:ind w:left="0" w:firstLine="0"/>
      </w:pPr>
      <w:rPr>
        <w:rFonts w:ascii="Arial" w:hAnsi="Arial" w:hint="default"/>
        <w:b/>
        <w:i w:val="0"/>
        <w:sz w:val="20"/>
      </w:rPr>
    </w:lvl>
    <w:lvl w:ilvl="1">
      <w:start w:val="1"/>
      <w:numFmt w:val="lowerLetter"/>
      <w:suff w:val="nothing"/>
      <w:lvlText w:val="%2.    "/>
      <w:lvlJc w:val="left"/>
      <w:pPr>
        <w:ind w:left="0" w:firstLine="360"/>
      </w:pPr>
      <w:rPr>
        <w:rFonts w:ascii="Arial" w:hAnsi="Arial" w:hint="default"/>
        <w:b w:val="0"/>
        <w:i w:val="0"/>
        <w:sz w:val="20"/>
        <w:szCs w:val="20"/>
      </w:rPr>
    </w:lvl>
    <w:lvl w:ilvl="2">
      <w:start w:val="1"/>
      <w:numFmt w:val="decimal"/>
      <w:suff w:val="nothing"/>
      <w:lvlText w:val="(%3)    "/>
      <w:lvlJc w:val="left"/>
      <w:pPr>
        <w:ind w:left="0" w:firstLine="720"/>
      </w:pPr>
      <w:rPr>
        <w:rFonts w:ascii="Arial" w:hAnsi="Arial" w:hint="default"/>
        <w:b w:val="0"/>
        <w:i w:val="0"/>
        <w:sz w:val="20"/>
        <w:szCs w:val="24"/>
      </w:rPr>
    </w:lvl>
    <w:lvl w:ilvl="3">
      <w:start w:val="1"/>
      <w:numFmt w:val="lowerLetter"/>
      <w:suff w:val="nothing"/>
      <w:lvlText w:val="(%4)    "/>
      <w:lvlJc w:val="left"/>
      <w:pPr>
        <w:ind w:left="0" w:firstLine="720"/>
      </w:pPr>
      <w:rPr>
        <w:rFonts w:ascii="Arial" w:hAnsi="Arial" w:hint="default"/>
        <w:b w:val="0"/>
        <w:i w:val="0"/>
        <w:sz w:val="20"/>
      </w:rPr>
    </w:lvl>
    <w:lvl w:ilvl="4">
      <w:start w:val="1"/>
      <w:numFmt w:val="decimal"/>
      <w:suff w:val="nothing"/>
      <w:lvlText w:val="%5.    "/>
      <w:lvlJc w:val="left"/>
      <w:pPr>
        <w:ind w:left="0" w:firstLine="792"/>
      </w:pPr>
      <w:rPr>
        <w:rFonts w:ascii="Arial" w:hAnsi="Arial" w:hint="default"/>
        <w:b w:val="0"/>
        <w:i w:val="0"/>
        <w:sz w:val="20"/>
      </w:rPr>
    </w:lvl>
    <w:lvl w:ilvl="5">
      <w:start w:val="1"/>
      <w:numFmt w:val="lowerRoman"/>
      <w:suff w:val="nothing"/>
      <w:lvlText w:val="%6    "/>
      <w:lvlJc w:val="left"/>
      <w:pPr>
        <w:ind w:left="0" w:firstLine="792"/>
      </w:pPr>
      <w:rPr>
        <w:rFonts w:ascii="Arial" w:hAnsi="Arial"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0610CE5"/>
    <w:multiLevelType w:val="multilevel"/>
    <w:tmpl w:val="9C142204"/>
    <w:lvl w:ilvl="0">
      <w:start w:val="801"/>
      <w:numFmt w:val="decimal"/>
      <w:suff w:val="nothing"/>
      <w:lvlText w:val="Section %1.      "/>
      <w:lvlJc w:val="left"/>
      <w:pPr>
        <w:ind w:left="0" w:firstLine="0"/>
      </w:pPr>
      <w:rPr>
        <w:rFonts w:ascii="Arial" w:hAnsi="Arial" w:cs="Times New Roman" w:hint="default"/>
        <w:b/>
        <w:i w:val="0"/>
        <w:sz w:val="20"/>
      </w:rPr>
    </w:lvl>
    <w:lvl w:ilvl="1">
      <w:start w:val="1"/>
      <w:numFmt w:val="lowerLetter"/>
      <w:suff w:val="nothing"/>
      <w:lvlText w:val="%2.    "/>
      <w:lvlJc w:val="left"/>
      <w:pPr>
        <w:ind w:left="0" w:firstLine="360"/>
      </w:pPr>
      <w:rPr>
        <w:rFonts w:ascii="Arial" w:hAnsi="Arial" w:cs="Times New Roman" w:hint="default"/>
        <w:b w:val="0"/>
        <w:i w:val="0"/>
        <w:sz w:val="20"/>
        <w:szCs w:val="20"/>
      </w:rPr>
    </w:lvl>
    <w:lvl w:ilvl="2">
      <w:start w:val="1"/>
      <w:numFmt w:val="decimal"/>
      <w:suff w:val="nothing"/>
      <w:lvlText w:val="(%3)    "/>
      <w:lvlJc w:val="left"/>
      <w:pPr>
        <w:ind w:left="0" w:firstLine="720"/>
      </w:pPr>
      <w:rPr>
        <w:rFonts w:ascii="Arial" w:hAnsi="Arial" w:cs="Times New Roman" w:hint="default"/>
        <w:b w:val="0"/>
        <w:i w:val="0"/>
        <w:sz w:val="20"/>
        <w:szCs w:val="24"/>
      </w:rPr>
    </w:lvl>
    <w:lvl w:ilvl="3">
      <w:start w:val="1"/>
      <w:numFmt w:val="lowerLetter"/>
      <w:suff w:val="nothing"/>
      <w:lvlText w:val="(%4)    "/>
      <w:lvlJc w:val="left"/>
      <w:pPr>
        <w:ind w:left="0" w:firstLine="720"/>
      </w:pPr>
      <w:rPr>
        <w:rFonts w:ascii="Arial" w:hAnsi="Arial" w:cs="Times New Roman" w:hint="default"/>
        <w:b w:val="0"/>
        <w:i w:val="0"/>
        <w:sz w:val="20"/>
      </w:rPr>
    </w:lvl>
    <w:lvl w:ilvl="4">
      <w:start w:val="1"/>
      <w:numFmt w:val="decimal"/>
      <w:suff w:val="nothing"/>
      <w:lvlText w:val="%5.    "/>
      <w:lvlJc w:val="left"/>
      <w:pPr>
        <w:ind w:left="0" w:firstLine="792"/>
      </w:pPr>
      <w:rPr>
        <w:rFonts w:ascii="Arial" w:hAnsi="Arial" w:cs="Times New Roman" w:hint="default"/>
        <w:b w:val="0"/>
        <w:i w:val="0"/>
        <w:sz w:val="20"/>
      </w:rPr>
    </w:lvl>
    <w:lvl w:ilvl="5">
      <w:start w:val="1"/>
      <w:numFmt w:val="lowerRoman"/>
      <w:suff w:val="nothing"/>
      <w:lvlText w:val="%6    "/>
      <w:lvlJc w:val="left"/>
      <w:pPr>
        <w:ind w:left="0" w:firstLine="792"/>
      </w:pPr>
      <w:rPr>
        <w:rFonts w:ascii="Arial" w:hAnsi="Arial" w:cs="Times New Roman"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7F793B"/>
    <w:multiLevelType w:val="hybridMultilevel"/>
    <w:tmpl w:val="7E760D1C"/>
    <w:lvl w:ilvl="0" w:tplc="04090001">
      <w:numFmt w:val="decimal"/>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4"/>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9"/>
    <w:rsid w:val="000B0DF5"/>
    <w:rsid w:val="001577F3"/>
    <w:rsid w:val="002641C3"/>
    <w:rsid w:val="002F42F7"/>
    <w:rsid w:val="003B6A33"/>
    <w:rsid w:val="004719BF"/>
    <w:rsid w:val="004F7C49"/>
    <w:rsid w:val="00616DD3"/>
    <w:rsid w:val="00847B18"/>
    <w:rsid w:val="00BE1F99"/>
    <w:rsid w:val="00BE50E9"/>
    <w:rsid w:val="00C66295"/>
    <w:rsid w:val="00CF3E11"/>
    <w:rsid w:val="00DB7CFF"/>
    <w:rsid w:val="00E35F1B"/>
    <w:rsid w:val="00E97F21"/>
    <w:rsid w:val="00EB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6CE1"/>
  <w15:chartTrackingRefBased/>
  <w15:docId w15:val="{326CC7EE-A8C8-482F-A3A1-0A609D52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99"/>
    <w:rPr>
      <w:color w:val="0563C1" w:themeColor="hyperlink"/>
      <w:u w:val="single"/>
    </w:rPr>
  </w:style>
  <w:style w:type="paragraph" w:styleId="ListParagraph">
    <w:name w:val="List Paragraph"/>
    <w:basedOn w:val="Normal"/>
    <w:uiPriority w:val="34"/>
    <w:qFormat/>
    <w:rsid w:val="00BE1F99"/>
    <w:pPr>
      <w:spacing w:after="120" w:line="240" w:lineRule="auto"/>
      <w:ind w:left="720"/>
      <w:contextualSpacing/>
    </w:pPr>
    <w:rPr>
      <w:rFonts w:ascii="Arial" w:hAnsi="Arial"/>
    </w:rPr>
  </w:style>
  <w:style w:type="table" w:styleId="TableGrid">
    <w:name w:val="Table Grid"/>
    <w:basedOn w:val="TableNormal"/>
    <w:uiPriority w:val="59"/>
    <w:rsid w:val="00BE1F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6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C3"/>
  </w:style>
  <w:style w:type="paragraph" w:styleId="Footer">
    <w:name w:val="footer"/>
    <w:basedOn w:val="Normal"/>
    <w:link w:val="FooterChar"/>
    <w:uiPriority w:val="99"/>
    <w:unhideWhenUsed/>
    <w:rsid w:val="0026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7633">
      <w:bodyDiv w:val="1"/>
      <w:marLeft w:val="0"/>
      <w:marRight w:val="0"/>
      <w:marTop w:val="0"/>
      <w:marBottom w:val="0"/>
      <w:divBdr>
        <w:top w:val="none" w:sz="0" w:space="0" w:color="auto"/>
        <w:left w:val="none" w:sz="0" w:space="0" w:color="auto"/>
        <w:bottom w:val="none" w:sz="0" w:space="0" w:color="auto"/>
        <w:right w:val="none" w:sz="0" w:space="0" w:color="auto"/>
      </w:divBdr>
    </w:div>
    <w:div w:id="20674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 Mandy</dc:creator>
  <cp:keywords/>
  <dc:description/>
  <cp:lastModifiedBy>Stacy Wilkerson</cp:lastModifiedBy>
  <cp:revision>2</cp:revision>
  <dcterms:created xsi:type="dcterms:W3CDTF">2020-07-02T18:50:00Z</dcterms:created>
  <dcterms:modified xsi:type="dcterms:W3CDTF">2020-07-02T18:50:00Z</dcterms:modified>
</cp:coreProperties>
</file>